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F9A" w:rsidRPr="002E6F9A" w:rsidRDefault="002E6F9A" w:rsidP="002E6F9A">
      <w:pPr>
        <w:jc w:val="center"/>
        <w:rPr>
          <w:b/>
          <w:sz w:val="36"/>
          <w:szCs w:val="36"/>
        </w:rPr>
      </w:pPr>
      <w:r>
        <w:rPr>
          <w:b/>
          <w:sz w:val="36"/>
          <w:szCs w:val="36"/>
        </w:rPr>
        <w:t xml:space="preserve">    </w:t>
      </w:r>
      <w:r w:rsidRPr="002E6F9A">
        <w:rPr>
          <w:b/>
          <w:sz w:val="36"/>
          <w:szCs w:val="36"/>
        </w:rPr>
        <w:t xml:space="preserve">FAQ </w:t>
      </w:r>
    </w:p>
    <w:p w:rsidR="002E6F9A" w:rsidRDefault="002E6F9A" w:rsidP="002E6F9A">
      <w:pPr>
        <w:ind w:left="851" w:right="-1"/>
        <w:jc w:val="both"/>
      </w:pPr>
      <w:bookmarkStart w:id="0" w:name="_Hlk486327073"/>
    </w:p>
    <w:bookmarkEnd w:id="0"/>
    <w:p w:rsidR="00F4642B" w:rsidRPr="00F4642B" w:rsidRDefault="00F4642B" w:rsidP="00F4642B">
      <w:pPr>
        <w:ind w:left="709"/>
        <w:jc w:val="both"/>
        <w:rPr>
          <w:b/>
          <w:sz w:val="28"/>
          <w:szCs w:val="28"/>
        </w:rPr>
      </w:pPr>
      <w:r w:rsidRPr="00F4642B">
        <w:rPr>
          <w:b/>
          <w:sz w:val="28"/>
          <w:szCs w:val="28"/>
        </w:rPr>
        <w:t xml:space="preserve">Procedura negoziata nei settori speciali, ai sensi dell’art. 36, comma 2, lettera b) del </w:t>
      </w:r>
      <w:proofErr w:type="spellStart"/>
      <w:proofErr w:type="gramStart"/>
      <w:r w:rsidRPr="00F4642B">
        <w:rPr>
          <w:b/>
          <w:sz w:val="28"/>
          <w:szCs w:val="28"/>
        </w:rPr>
        <w:t>D.Lgs</w:t>
      </w:r>
      <w:proofErr w:type="gramEnd"/>
      <w:r w:rsidRPr="00F4642B">
        <w:rPr>
          <w:b/>
          <w:sz w:val="28"/>
          <w:szCs w:val="28"/>
        </w:rPr>
        <w:t>.</w:t>
      </w:r>
      <w:proofErr w:type="spellEnd"/>
      <w:r w:rsidRPr="00F4642B">
        <w:rPr>
          <w:b/>
          <w:sz w:val="28"/>
          <w:szCs w:val="28"/>
        </w:rPr>
        <w:t xml:space="preserve"> 50/2016 per il “</w:t>
      </w:r>
      <w:bookmarkStart w:id="1" w:name="_Hlk488829588"/>
      <w:r w:rsidRPr="00F4642B">
        <w:rPr>
          <w:b/>
          <w:sz w:val="28"/>
          <w:szCs w:val="28"/>
        </w:rPr>
        <w:t>Servizio di conduzione e manutenzione degli impianti di depurazione comparto Alburni e Cilento</w:t>
      </w:r>
      <w:bookmarkEnd w:id="1"/>
      <w:r w:rsidRPr="00F4642B">
        <w:rPr>
          <w:b/>
          <w:sz w:val="28"/>
          <w:szCs w:val="28"/>
        </w:rPr>
        <w:t>” in gestione ASIS spa.</w:t>
      </w:r>
    </w:p>
    <w:p w:rsidR="00F4642B" w:rsidRPr="00F4642B" w:rsidRDefault="00F4642B" w:rsidP="00F4642B">
      <w:pPr>
        <w:ind w:left="709"/>
        <w:jc w:val="both"/>
        <w:rPr>
          <w:b/>
          <w:sz w:val="28"/>
          <w:szCs w:val="28"/>
        </w:rPr>
      </w:pPr>
      <w:r w:rsidRPr="00F4642B">
        <w:rPr>
          <w:b/>
          <w:sz w:val="28"/>
          <w:szCs w:val="28"/>
        </w:rPr>
        <w:t>CIG: 722420528F</w:t>
      </w:r>
    </w:p>
    <w:p w:rsidR="00DD1741" w:rsidRDefault="00F4642B" w:rsidP="002E6F9A">
      <w:pPr>
        <w:ind w:left="851" w:right="-1"/>
        <w:jc w:val="both"/>
      </w:pPr>
      <w:r>
        <w:t xml:space="preserve"> </w:t>
      </w:r>
    </w:p>
    <w:p w:rsidR="002E6F9A" w:rsidRDefault="002E6F9A" w:rsidP="00DD1741">
      <w:pPr>
        <w:jc w:val="both"/>
      </w:pPr>
    </w:p>
    <w:p w:rsidR="002E6F9A" w:rsidRDefault="002E6F9A" w:rsidP="00DD1741">
      <w:pPr>
        <w:jc w:val="both"/>
      </w:pPr>
    </w:p>
    <w:p w:rsidR="008A30DB" w:rsidRPr="00DD1741" w:rsidRDefault="00F4642B" w:rsidP="00DD1741">
      <w:pPr>
        <w:pStyle w:val="Paragrafoelenco"/>
        <w:numPr>
          <w:ilvl w:val="0"/>
          <w:numId w:val="5"/>
        </w:numPr>
        <w:jc w:val="both"/>
        <w:rPr>
          <w:b/>
          <w:iCs/>
        </w:rPr>
      </w:pPr>
      <w:r>
        <w:rPr>
          <w:b/>
          <w:iCs/>
        </w:rPr>
        <w:t>A pag. 13 del disciplinare di gara al criterio B1 come criterio di valutazione è riportato il curriculum del responsabile tecnico. Con ciò si intende il curriculum del Direttore Tecnico</w:t>
      </w:r>
      <w:r w:rsidR="008A30DB" w:rsidRPr="00DD1741">
        <w:rPr>
          <w:b/>
          <w:iCs/>
        </w:rPr>
        <w:t>?</w:t>
      </w:r>
    </w:p>
    <w:p w:rsidR="008A30DB" w:rsidRPr="00142645" w:rsidRDefault="00F4642B" w:rsidP="00142645">
      <w:pPr>
        <w:ind w:left="709"/>
        <w:jc w:val="both"/>
        <w:rPr>
          <w:i/>
          <w:iCs/>
        </w:rPr>
      </w:pPr>
      <w:r>
        <w:rPr>
          <w:i/>
          <w:iCs/>
        </w:rPr>
        <w:t xml:space="preserve">No, si intende il curriculum del responsabile tecnico dell’attività che </w:t>
      </w:r>
      <w:r w:rsidR="00A44036">
        <w:rPr>
          <w:i/>
          <w:iCs/>
        </w:rPr>
        <w:t xml:space="preserve">può </w:t>
      </w:r>
      <w:r>
        <w:rPr>
          <w:i/>
          <w:iCs/>
        </w:rPr>
        <w:t xml:space="preserve">o meno coincidere con il Direttore Tecnico della società. </w:t>
      </w:r>
    </w:p>
    <w:p w:rsidR="008A30DB" w:rsidRDefault="008A30DB" w:rsidP="00D666D1">
      <w:pPr>
        <w:jc w:val="both"/>
        <w:rPr>
          <w:b/>
          <w:bCs/>
        </w:rPr>
      </w:pPr>
    </w:p>
    <w:p w:rsidR="008A30DB" w:rsidRPr="002F3C2D" w:rsidRDefault="00F4642B" w:rsidP="00F4642B">
      <w:pPr>
        <w:pStyle w:val="Paragrafoelenco"/>
        <w:numPr>
          <w:ilvl w:val="0"/>
          <w:numId w:val="5"/>
        </w:numPr>
        <w:jc w:val="both"/>
        <w:rPr>
          <w:b/>
          <w:bCs/>
          <w:i/>
        </w:rPr>
      </w:pPr>
      <w:r>
        <w:rPr>
          <w:b/>
          <w:bCs/>
        </w:rPr>
        <w:t xml:space="preserve">A pag. 8 del capitolato di gara è specificato </w:t>
      </w:r>
      <w:r w:rsidR="002F3C2D">
        <w:rPr>
          <w:b/>
          <w:bCs/>
        </w:rPr>
        <w:t xml:space="preserve">che </w:t>
      </w:r>
      <w:r w:rsidR="002F3C2D" w:rsidRPr="002F3C2D">
        <w:rPr>
          <w:b/>
          <w:bCs/>
          <w:i/>
        </w:rPr>
        <w:t xml:space="preserve">“in caso di aggiudicazione l’impresa dovrà attingere al bacino di operatori </w:t>
      </w:r>
      <w:proofErr w:type="gramStart"/>
      <w:r w:rsidR="002F3C2D" w:rsidRPr="002F3C2D">
        <w:rPr>
          <w:b/>
          <w:bCs/>
          <w:i/>
        </w:rPr>
        <w:t>locali….</w:t>
      </w:r>
      <w:proofErr w:type="gramEnd"/>
      <w:r w:rsidR="002F3C2D" w:rsidRPr="002F3C2D">
        <w:rPr>
          <w:b/>
          <w:bCs/>
          <w:i/>
        </w:rPr>
        <w:t xml:space="preserve">” </w:t>
      </w:r>
      <w:r w:rsidR="002F3C2D">
        <w:rPr>
          <w:b/>
          <w:bCs/>
        </w:rPr>
        <w:t xml:space="preserve"> ed a tal riguardo nel quadro economico sono riportati 1 operaio di 2° livello, 2 operaio di 3° livello, 1 operaio di 4° livello. Siccome per lo svolgimento dell’appalto in questione sono richieste 2 squadre da 2 operai ciascuna, chiediamo se devono essere tutti di 3° livello oppure debbono essere di 2°, 3° e 4° livello. </w:t>
      </w:r>
    </w:p>
    <w:p w:rsidR="002F3C2D" w:rsidRDefault="002F3C2D" w:rsidP="002F3C2D">
      <w:pPr>
        <w:pStyle w:val="Paragrafoelenco"/>
        <w:jc w:val="both"/>
        <w:rPr>
          <w:b/>
          <w:bCs/>
        </w:rPr>
      </w:pPr>
      <w:r>
        <w:rPr>
          <w:bCs/>
          <w:i/>
        </w:rPr>
        <w:t>In riferimento al livello delle maestranze l’impresa ha la facoltà di utilizzare gli operatori che ritiene utili allo svolgimento dell’attività. L’indicazione del livello riportata nel computo è in funzione solo della determinazione del costo</w:t>
      </w:r>
      <w:r w:rsidR="00A44036">
        <w:rPr>
          <w:bCs/>
          <w:i/>
        </w:rPr>
        <w:t xml:space="preserve"> ed è riferita al contratto “Unico Gas Acqua” adottato dall’ASIS</w:t>
      </w:r>
      <w:r>
        <w:rPr>
          <w:bCs/>
          <w:i/>
        </w:rPr>
        <w:t>.</w:t>
      </w:r>
    </w:p>
    <w:p w:rsidR="002F3C2D" w:rsidRDefault="002F3C2D" w:rsidP="002F3C2D">
      <w:pPr>
        <w:pStyle w:val="Paragrafoelenco"/>
        <w:jc w:val="both"/>
        <w:rPr>
          <w:b/>
          <w:bCs/>
        </w:rPr>
      </w:pPr>
    </w:p>
    <w:p w:rsidR="002F3C2D" w:rsidRPr="00A768CE" w:rsidRDefault="00D336C8" w:rsidP="002F3C2D">
      <w:pPr>
        <w:pStyle w:val="Paragrafoelenco"/>
        <w:numPr>
          <w:ilvl w:val="0"/>
          <w:numId w:val="5"/>
        </w:numPr>
        <w:jc w:val="both"/>
        <w:rPr>
          <w:bCs/>
          <w:i/>
        </w:rPr>
      </w:pPr>
      <w:r>
        <w:rPr>
          <w:b/>
          <w:bCs/>
        </w:rPr>
        <w:t xml:space="preserve">Per gli operai di 3° livello sono state calcolate 40 ore settimanali, ma nel </w:t>
      </w:r>
      <w:r w:rsidR="00A768CE">
        <w:rPr>
          <w:b/>
          <w:bCs/>
        </w:rPr>
        <w:t xml:space="preserve">capitolato a pag. 5 è scritto che le visite di controllo periodiche sono settimanali. Dunque, i controlli sono settimanali o giornalieri? </w:t>
      </w:r>
    </w:p>
    <w:p w:rsidR="00A768CE" w:rsidRDefault="00A768CE" w:rsidP="00A768CE">
      <w:pPr>
        <w:pStyle w:val="Paragrafoelenco"/>
        <w:jc w:val="both"/>
        <w:rPr>
          <w:bCs/>
          <w:i/>
        </w:rPr>
      </w:pPr>
      <w:r>
        <w:rPr>
          <w:bCs/>
          <w:i/>
        </w:rPr>
        <w:t xml:space="preserve">Anche in questo caso le ore indicate per gli operatori (40 ore) sono finalizzate alla determinazione dei costi, mentre le visite di controllo </w:t>
      </w:r>
      <w:r w:rsidR="00A44036">
        <w:rPr>
          <w:bCs/>
          <w:i/>
        </w:rPr>
        <w:t>dovranno essere</w:t>
      </w:r>
      <w:r>
        <w:rPr>
          <w:bCs/>
          <w:i/>
        </w:rPr>
        <w:t xml:space="preserve"> quelle minime </w:t>
      </w:r>
      <w:r w:rsidR="00A44036">
        <w:rPr>
          <w:bCs/>
          <w:i/>
        </w:rPr>
        <w:t>per garantire il servizio richiesto e, comunque, almeno settimanali</w:t>
      </w:r>
      <w:r>
        <w:rPr>
          <w:bCs/>
          <w:i/>
        </w:rPr>
        <w:t xml:space="preserve">. </w:t>
      </w:r>
    </w:p>
    <w:p w:rsidR="00A768CE" w:rsidRDefault="00A768CE" w:rsidP="00A768CE">
      <w:pPr>
        <w:pStyle w:val="Paragrafoelenco"/>
        <w:jc w:val="both"/>
        <w:rPr>
          <w:bCs/>
          <w:i/>
        </w:rPr>
      </w:pPr>
    </w:p>
    <w:p w:rsidR="00A768CE" w:rsidRDefault="00A768CE" w:rsidP="00A768CE">
      <w:pPr>
        <w:pStyle w:val="Paragrafoelenco"/>
        <w:numPr>
          <w:ilvl w:val="0"/>
          <w:numId w:val="5"/>
        </w:numPr>
        <w:jc w:val="both"/>
        <w:rPr>
          <w:b/>
          <w:bCs/>
        </w:rPr>
      </w:pPr>
      <w:r>
        <w:rPr>
          <w:b/>
          <w:bCs/>
        </w:rPr>
        <w:t xml:space="preserve">Il sopralluogo può essere fatto da una persona non dipendente dell’impresa, ma opportunamente delegata dal legale rappresentante? </w:t>
      </w:r>
    </w:p>
    <w:p w:rsidR="00A768CE" w:rsidRDefault="00A768CE" w:rsidP="00A768CE">
      <w:pPr>
        <w:pStyle w:val="Paragrafoelenco"/>
        <w:jc w:val="both"/>
        <w:rPr>
          <w:bCs/>
          <w:i/>
        </w:rPr>
      </w:pPr>
      <w:r w:rsidRPr="00A768CE">
        <w:rPr>
          <w:bCs/>
          <w:i/>
        </w:rPr>
        <w:t xml:space="preserve">Si, il </w:t>
      </w:r>
      <w:r>
        <w:rPr>
          <w:bCs/>
          <w:i/>
        </w:rPr>
        <w:t xml:space="preserve">sopralluogo può essere espletato da una persona non dipendente dell’impresa munita di apposita delega da parte del legale rappresentante. </w:t>
      </w:r>
    </w:p>
    <w:p w:rsidR="00A768CE" w:rsidRDefault="00A768CE" w:rsidP="00A768CE">
      <w:pPr>
        <w:pStyle w:val="Paragrafoelenco"/>
        <w:jc w:val="both"/>
        <w:rPr>
          <w:bCs/>
          <w:i/>
        </w:rPr>
      </w:pPr>
    </w:p>
    <w:p w:rsidR="00A768CE" w:rsidRDefault="00A768CE" w:rsidP="00A768CE">
      <w:pPr>
        <w:pStyle w:val="Paragrafoelenco"/>
        <w:numPr>
          <w:ilvl w:val="0"/>
          <w:numId w:val="5"/>
        </w:numPr>
        <w:jc w:val="both"/>
        <w:rPr>
          <w:b/>
          <w:bCs/>
        </w:rPr>
      </w:pPr>
      <w:r>
        <w:rPr>
          <w:b/>
          <w:bCs/>
        </w:rPr>
        <w:t xml:space="preserve">Quando è possibile effettuare il sopralluogo? </w:t>
      </w:r>
    </w:p>
    <w:p w:rsidR="00A768CE" w:rsidRDefault="00A768CE" w:rsidP="00A768CE">
      <w:pPr>
        <w:ind w:left="709"/>
        <w:jc w:val="both"/>
        <w:rPr>
          <w:bCs/>
          <w:i/>
        </w:rPr>
      </w:pPr>
      <w:proofErr w:type="gramStart"/>
      <w:r>
        <w:rPr>
          <w:bCs/>
          <w:i/>
        </w:rPr>
        <w:t>E’</w:t>
      </w:r>
      <w:proofErr w:type="gramEnd"/>
      <w:r>
        <w:rPr>
          <w:bCs/>
          <w:i/>
        </w:rPr>
        <w:t xml:space="preserve"> necessario richiedere un appuntamento, a mezzo </w:t>
      </w:r>
      <w:proofErr w:type="spellStart"/>
      <w:r>
        <w:rPr>
          <w:bCs/>
          <w:i/>
        </w:rPr>
        <w:t>pec</w:t>
      </w:r>
      <w:proofErr w:type="spellEnd"/>
      <w:r>
        <w:rPr>
          <w:bCs/>
          <w:i/>
        </w:rPr>
        <w:t xml:space="preserve">: </w:t>
      </w:r>
      <w:hyperlink r:id="rId5" w:history="1">
        <w:r w:rsidRPr="00BB5295">
          <w:rPr>
            <w:rStyle w:val="Collegamentoipertestuale"/>
          </w:rPr>
          <w:t>protocollo@pec.asisnet.it</w:t>
        </w:r>
      </w:hyperlink>
      <w:r>
        <w:rPr>
          <w:bCs/>
          <w:i/>
        </w:rPr>
        <w:t xml:space="preserve"> , specificando nell’oggetto della richiesta: “richiesta di sopralluogo - </w:t>
      </w:r>
      <w:r w:rsidRPr="00A768CE">
        <w:rPr>
          <w:bCs/>
          <w:i/>
        </w:rPr>
        <w:t>Servizio di conduzione e manutenzione degli impianti di depurazione comparto Alburni e Cilento” in gestione ASIS spa</w:t>
      </w:r>
      <w:r>
        <w:rPr>
          <w:bCs/>
          <w:i/>
        </w:rPr>
        <w:t xml:space="preserve"> - </w:t>
      </w:r>
      <w:r w:rsidRPr="00A768CE">
        <w:rPr>
          <w:bCs/>
          <w:i/>
        </w:rPr>
        <w:t>CIG: 722420528F</w:t>
      </w:r>
      <w:r>
        <w:rPr>
          <w:bCs/>
          <w:i/>
        </w:rPr>
        <w:t xml:space="preserve">”. </w:t>
      </w:r>
    </w:p>
    <w:p w:rsidR="00116C77" w:rsidRDefault="00116C77" w:rsidP="00A768CE">
      <w:pPr>
        <w:ind w:left="709"/>
        <w:jc w:val="both"/>
        <w:rPr>
          <w:bCs/>
        </w:rPr>
      </w:pPr>
    </w:p>
    <w:p w:rsidR="00116C77" w:rsidRDefault="00116C77" w:rsidP="00116C77">
      <w:pPr>
        <w:pStyle w:val="Paragrafoelenco"/>
        <w:numPr>
          <w:ilvl w:val="0"/>
          <w:numId w:val="5"/>
        </w:numPr>
        <w:jc w:val="both"/>
        <w:rPr>
          <w:b/>
          <w:bCs/>
        </w:rPr>
      </w:pPr>
      <w:proofErr w:type="gramStart"/>
      <w:r>
        <w:rPr>
          <w:b/>
          <w:bCs/>
        </w:rPr>
        <w:t>E’</w:t>
      </w:r>
      <w:proofErr w:type="gramEnd"/>
      <w:r>
        <w:rPr>
          <w:b/>
          <w:bCs/>
        </w:rPr>
        <w:t xml:space="preserve"> prevista la riassunzione del personale? </w:t>
      </w:r>
    </w:p>
    <w:p w:rsidR="00116C77" w:rsidRDefault="00116C77" w:rsidP="00116C77">
      <w:pPr>
        <w:pStyle w:val="Paragrafoelenco"/>
        <w:jc w:val="both"/>
        <w:rPr>
          <w:bCs/>
          <w:i/>
        </w:rPr>
      </w:pPr>
      <w:r>
        <w:rPr>
          <w:bCs/>
          <w:i/>
        </w:rPr>
        <w:t xml:space="preserve">In riferimento alla stabilizzazione del personale impiegato per tutta la durata dell’appalto si rinvia a quanto previsto dall’art. 50 del Codice degli Appalti. L’aggiudicatario, infatti, compatibilmente con le proprie esigenze tecnico-organizzative, in caso di nuove assunzioni, dovrà privilegiare la stabilizzazione del personale già impiegato, seppure da altre ditte, nello stesso servizio. </w:t>
      </w:r>
    </w:p>
    <w:p w:rsidR="00FC5A25" w:rsidRPr="00116C77" w:rsidRDefault="00FC5A25" w:rsidP="00116C77">
      <w:pPr>
        <w:pStyle w:val="Paragrafoelenco"/>
        <w:jc w:val="both"/>
        <w:rPr>
          <w:bCs/>
          <w:i/>
        </w:rPr>
      </w:pPr>
    </w:p>
    <w:p w:rsidR="002F3C2D" w:rsidRPr="00FC5A25" w:rsidRDefault="00FC5A25" w:rsidP="00FC5A25">
      <w:pPr>
        <w:pStyle w:val="Paragrafoelenco"/>
        <w:numPr>
          <w:ilvl w:val="0"/>
          <w:numId w:val="5"/>
        </w:numPr>
        <w:rPr>
          <w:b/>
          <w:bCs/>
        </w:rPr>
      </w:pPr>
      <w:r w:rsidRPr="00FC5A25">
        <w:rPr>
          <w:b/>
        </w:rPr>
        <w:t>Relativamente alla gara</w:t>
      </w:r>
      <w:r>
        <w:rPr>
          <w:b/>
        </w:rPr>
        <w:t xml:space="preserve"> avente oggetto il "servizio di </w:t>
      </w:r>
      <w:r w:rsidRPr="00FC5A25">
        <w:rPr>
          <w:b/>
        </w:rPr>
        <w:t xml:space="preserve">conduzione e manutenzione degli impianti </w:t>
      </w:r>
      <w:r>
        <w:rPr>
          <w:b/>
        </w:rPr>
        <w:t xml:space="preserve">di depurazione comparto Alburni </w:t>
      </w:r>
      <w:r w:rsidRPr="00FC5A25">
        <w:rPr>
          <w:b/>
        </w:rPr>
        <w:t>e Cilento" CIG 722420528F nella precedent</w:t>
      </w:r>
      <w:r>
        <w:rPr>
          <w:b/>
        </w:rPr>
        <w:t xml:space="preserve">e FAQ avete evidenziato che "le </w:t>
      </w:r>
      <w:r w:rsidRPr="00FC5A25">
        <w:rPr>
          <w:b/>
        </w:rPr>
        <w:t>visite di controllo dovranno essere quelle minime per garantire il</w:t>
      </w:r>
      <w:r w:rsidRPr="00FC5A25">
        <w:rPr>
          <w:b/>
        </w:rPr>
        <w:br/>
        <w:t>servizio richiesto e, comunque, almeno settimanali" ma nel capit</w:t>
      </w:r>
      <w:r>
        <w:rPr>
          <w:b/>
        </w:rPr>
        <w:t xml:space="preserve">olato a </w:t>
      </w:r>
      <w:r w:rsidRPr="00FC5A25">
        <w:rPr>
          <w:b/>
        </w:rPr>
        <w:t>pag. 4 è specificato che "l’impresa appaltatrice è tenuta a compilare</w:t>
      </w:r>
      <w:r>
        <w:rPr>
          <w:b/>
        </w:rPr>
        <w:t xml:space="preserve"> </w:t>
      </w:r>
      <w:r w:rsidRPr="00FC5A25">
        <w:rPr>
          <w:b/>
        </w:rPr>
        <w:t xml:space="preserve">quotidianamente un registro riportante tutte le </w:t>
      </w:r>
      <w:r>
        <w:rPr>
          <w:b/>
        </w:rPr>
        <w:lastRenderedPageBreak/>
        <w:t xml:space="preserve">attività svolte </w:t>
      </w:r>
      <w:r w:rsidRPr="00FC5A25">
        <w:rPr>
          <w:b/>
        </w:rPr>
        <w:t>all’impianto e tutte le manutenzioni alle opere elettromeccaniche". Alla</w:t>
      </w:r>
      <w:r w:rsidRPr="00FC5A25">
        <w:rPr>
          <w:b/>
        </w:rPr>
        <w:br/>
        <w:t>luce di ciò dobbiamo andare sugli impiant</w:t>
      </w:r>
      <w:r>
        <w:rPr>
          <w:b/>
        </w:rPr>
        <w:t xml:space="preserve">i tutti i giorni oppure a </w:t>
      </w:r>
      <w:r w:rsidR="00F81E8D">
        <w:rPr>
          <w:b/>
        </w:rPr>
        <w:t>livello settimanale?</w:t>
      </w:r>
    </w:p>
    <w:p w:rsidR="002F3C2D" w:rsidRDefault="00FC5A25" w:rsidP="002F3C2D">
      <w:pPr>
        <w:pStyle w:val="Paragrafoelenco"/>
        <w:jc w:val="both"/>
        <w:rPr>
          <w:bCs/>
          <w:i/>
        </w:rPr>
      </w:pPr>
      <w:r>
        <w:rPr>
          <w:bCs/>
          <w:i/>
        </w:rPr>
        <w:t xml:space="preserve">Le attività di cui a pag. 5 del Capitolato devono essere eseguite con periodicità almeno settimanale, fermo restando che l’impresa dovrà garantire la corretta conduzione degli impianti, effettuando, ove necessario, visite anche quotidiane, redigendo un registro riportante tutte le attività svolte sull’impianto e le manutenzioni operate sulle apparecchiature elettromeccaniche (pag. 4). </w:t>
      </w:r>
    </w:p>
    <w:p w:rsidR="002F3C2D" w:rsidRDefault="00FC5A25" w:rsidP="00FC5A25">
      <w:pPr>
        <w:pStyle w:val="Paragrafoelenco"/>
        <w:jc w:val="both"/>
        <w:rPr>
          <w:bCs/>
          <w:i/>
        </w:rPr>
      </w:pPr>
      <w:r>
        <w:rPr>
          <w:bCs/>
          <w:i/>
        </w:rPr>
        <w:t xml:space="preserve">In buona sostanza, l’aver effettuato l’intervento settimanale non esime l’impresa dal ritornare sullo stesso impianto anche più volte nei giorni seguenti, in caso di necessità. </w:t>
      </w:r>
    </w:p>
    <w:p w:rsidR="00F81E8D" w:rsidRDefault="00F81E8D" w:rsidP="00FC5A25">
      <w:pPr>
        <w:pStyle w:val="Paragrafoelenco"/>
        <w:jc w:val="both"/>
        <w:rPr>
          <w:bCs/>
          <w:i/>
        </w:rPr>
      </w:pPr>
    </w:p>
    <w:p w:rsidR="00F81E8D" w:rsidRPr="00F81E8D" w:rsidRDefault="00F81E8D" w:rsidP="00F81E8D">
      <w:pPr>
        <w:pStyle w:val="Paragrafoelenco"/>
        <w:numPr>
          <w:ilvl w:val="0"/>
          <w:numId w:val="5"/>
        </w:numPr>
        <w:rPr>
          <w:b/>
        </w:rPr>
      </w:pPr>
      <w:bookmarkStart w:id="2" w:name="_Hlk496077395"/>
      <w:r w:rsidRPr="00F81E8D">
        <w:rPr>
          <w:b/>
        </w:rPr>
        <w:t>In riferimento all'art. 4 del CSA di gara, si richiede di conoscere se le n° quattro unità lavorative vantano obbligo di assunzione relativo al CCNL FISE Ambiente ed eventualmente si richiede di specificarne il</w:t>
      </w:r>
      <w:r w:rsidRPr="00F81E8D">
        <w:rPr>
          <w:b/>
        </w:rPr>
        <w:br/>
      </w:r>
      <w:r>
        <w:rPr>
          <w:b/>
        </w:rPr>
        <w:t>livello o altro CCNL applicato.</w:t>
      </w:r>
    </w:p>
    <w:p w:rsidR="00F81E8D" w:rsidRPr="00F81E8D" w:rsidRDefault="00F81E8D" w:rsidP="00F81E8D">
      <w:pPr>
        <w:ind w:left="851"/>
        <w:rPr>
          <w:i/>
        </w:rPr>
      </w:pPr>
      <w:r w:rsidRPr="00F81E8D">
        <w:rPr>
          <w:i/>
        </w:rPr>
        <w:t xml:space="preserve">Il contratto di lavoro da applicare è quello che l’impresa riterrà più opportuno per lo svolgimento del servizio. Lo stesso dicasi per il livello da attribuire alle unità lavorative. </w:t>
      </w:r>
    </w:p>
    <w:p w:rsidR="00F81E8D" w:rsidRDefault="00F81E8D" w:rsidP="00F81E8D"/>
    <w:p w:rsidR="00F81E8D" w:rsidRPr="00F81E8D" w:rsidRDefault="00F81E8D" w:rsidP="00F81E8D">
      <w:pPr>
        <w:pStyle w:val="Paragrafoelenco"/>
        <w:numPr>
          <w:ilvl w:val="0"/>
          <w:numId w:val="5"/>
        </w:numPr>
        <w:rPr>
          <w:b/>
        </w:rPr>
      </w:pPr>
      <w:r w:rsidRPr="00F81E8D">
        <w:rPr>
          <w:b/>
        </w:rPr>
        <w:t>Si chiede di specificare il canone mensile dell'attuale gestore o di avere una copia dell'ultima liquidazione in quanto la stessa non è evincibile dal portale web.</w:t>
      </w:r>
    </w:p>
    <w:p w:rsidR="00F81E8D" w:rsidRPr="00F81E8D" w:rsidRDefault="00F81E8D" w:rsidP="00F81E8D">
      <w:pPr>
        <w:ind w:left="709"/>
        <w:rPr>
          <w:i/>
        </w:rPr>
      </w:pPr>
      <w:r w:rsidRPr="00F81E8D">
        <w:rPr>
          <w:i/>
        </w:rPr>
        <w:t xml:space="preserve">In riferimento all’attuale gestione degli impianti oggetto dell’appalto, si precisa che non c’è un canone di riferimento in quanto il servizio è affidato all’esterno solo per alcuni degli impianti e non ad identiche condizioni. </w:t>
      </w:r>
    </w:p>
    <w:bookmarkEnd w:id="2"/>
    <w:p w:rsidR="00F81E8D" w:rsidRDefault="00F81E8D" w:rsidP="00F81E8D"/>
    <w:p w:rsidR="00F81E8D" w:rsidRPr="00F81E8D" w:rsidRDefault="00F81E8D" w:rsidP="00F81E8D">
      <w:pPr>
        <w:pStyle w:val="Paragrafoelenco"/>
        <w:numPr>
          <w:ilvl w:val="0"/>
          <w:numId w:val="5"/>
        </w:numPr>
        <w:rPr>
          <w:b/>
        </w:rPr>
      </w:pPr>
      <w:bookmarkStart w:id="3" w:name="_Hlk496077466"/>
      <w:r w:rsidRPr="00F81E8D">
        <w:rPr>
          <w:b/>
        </w:rPr>
        <w:t>Relativamente alla gara avente oggetto il "servizio di conduzione e manutenzione degli impianti di depurazione comparto Alburni e Cilento”, al personale da riassumere è necessario applicare il contratto collettivo Gas Acqua?</w:t>
      </w:r>
    </w:p>
    <w:p w:rsidR="00F431AD" w:rsidRDefault="00F81E8D" w:rsidP="00F431AD">
      <w:pPr>
        <w:ind w:left="709"/>
        <w:rPr>
          <w:i/>
        </w:rPr>
      </w:pPr>
      <w:r w:rsidRPr="00F81E8D">
        <w:rPr>
          <w:i/>
        </w:rPr>
        <w:t>No, non è necessario. Il contratto di lavoro da applicare è quello che l’impresa riterrà più opportuno per lo svolgimento del servizio.</w:t>
      </w:r>
      <w:bookmarkEnd w:id="3"/>
    </w:p>
    <w:p w:rsidR="00F431AD" w:rsidRDefault="00F431AD" w:rsidP="00F431AD">
      <w:pPr>
        <w:jc w:val="both"/>
        <w:rPr>
          <w:rFonts w:ascii="Calibri Light" w:hAnsi="Calibri Light"/>
        </w:rPr>
      </w:pPr>
      <w:r>
        <w:rPr>
          <w:rFonts w:ascii="Calibri Light" w:hAnsi="Calibri Light"/>
          <w:u w:val="single"/>
        </w:rPr>
        <w:t xml:space="preserve"> </w:t>
      </w:r>
    </w:p>
    <w:p w:rsidR="00F431AD" w:rsidRPr="00F431AD" w:rsidRDefault="00F431AD" w:rsidP="00F431AD">
      <w:pPr>
        <w:pStyle w:val="Paragrafoelenco"/>
        <w:numPr>
          <w:ilvl w:val="0"/>
          <w:numId w:val="5"/>
        </w:numPr>
        <w:jc w:val="both"/>
        <w:rPr>
          <w:rFonts w:ascii="Calibri Light" w:hAnsi="Calibri Light"/>
          <w:b/>
        </w:rPr>
      </w:pPr>
      <w:r w:rsidRPr="00F431AD">
        <w:rPr>
          <w:rFonts w:ascii="Calibri Light" w:hAnsi="Calibri Light"/>
          <w:b/>
        </w:rPr>
        <w:t>Con riferimento all’oggetto si chiede di specificare:</w:t>
      </w:r>
    </w:p>
    <w:p w:rsidR="00F431AD" w:rsidRPr="00F431AD" w:rsidRDefault="00F431AD" w:rsidP="00F431AD">
      <w:pPr>
        <w:numPr>
          <w:ilvl w:val="0"/>
          <w:numId w:val="6"/>
        </w:numPr>
        <w:ind w:left="284" w:hanging="284"/>
        <w:jc w:val="both"/>
        <w:rPr>
          <w:b/>
        </w:rPr>
      </w:pPr>
      <w:r w:rsidRPr="00F431AD">
        <w:rPr>
          <w:b/>
        </w:rPr>
        <w:t>se il canone mensile sia corpo o a misura atteso che per la determinazione dell’importo contrattuale sono stati indicati i livelli delle maestranze, con individuazione di specifico CCNL, e le ore di impiego.</w:t>
      </w:r>
    </w:p>
    <w:p w:rsidR="00F431AD" w:rsidRPr="00F431AD" w:rsidRDefault="00F431AD" w:rsidP="00F431AD">
      <w:pPr>
        <w:ind w:left="284"/>
        <w:jc w:val="both"/>
        <w:rPr>
          <w:b/>
        </w:rPr>
      </w:pPr>
      <w:r w:rsidRPr="00F431AD">
        <w:rPr>
          <w:b/>
        </w:rPr>
        <w:t>A tal riguardo, alla luce dell’art.8 si chiede altresì di specificare se l’indicazione, nell’ambito dei report settimanali, del numero degli operai impiegati settimanalmente sugli impianti e le relative ore svolte sui singoli impianti concorra alla definizione del consuntivo mensile a pagare;</w:t>
      </w:r>
    </w:p>
    <w:p w:rsidR="00F431AD" w:rsidRPr="00F431AD" w:rsidRDefault="00F431AD" w:rsidP="00F431AD">
      <w:pPr>
        <w:ind w:left="284"/>
        <w:jc w:val="both"/>
        <w:rPr>
          <w:rFonts w:ascii="Calibri Light" w:hAnsi="Calibri Light"/>
          <w:i/>
        </w:rPr>
      </w:pPr>
      <w:r w:rsidRPr="00F431AD">
        <w:rPr>
          <w:rFonts w:ascii="Calibri Light" w:hAnsi="Calibri Light"/>
          <w:i/>
        </w:rPr>
        <w:t xml:space="preserve">II contratto è stipulato interamente “A CORPO”. La ditta appaltatrice dovrà garantire le visite di controllo periodiche programmate settimanali sugli impianti, con proprio personale, ed assicurare la propria reperibilità H24 anche oltre gli orari programmati ordinariamente per i controlli settimanali. </w:t>
      </w:r>
    </w:p>
    <w:p w:rsidR="00F431AD" w:rsidRPr="00F431AD" w:rsidRDefault="00F431AD" w:rsidP="00F431AD">
      <w:pPr>
        <w:ind w:left="284"/>
        <w:jc w:val="both"/>
        <w:rPr>
          <w:rFonts w:ascii="Calibri Light" w:hAnsi="Calibri Light"/>
          <w:i/>
        </w:rPr>
      </w:pPr>
      <w:r w:rsidRPr="00F431AD">
        <w:rPr>
          <w:rFonts w:ascii="Calibri Light" w:hAnsi="Calibri Light"/>
          <w:i/>
        </w:rPr>
        <w:t xml:space="preserve">La stesura del report in linea generale non concorrerà alla definizione del consuntivo mensile a pagare, ma l’ASIS constaterà il buon andamento delle operazioni di conduzione e manutenzione ed in caso di accertata inadempienza la ditta appaltatrice incorrerà in penale. </w:t>
      </w:r>
    </w:p>
    <w:p w:rsidR="00F431AD" w:rsidRPr="00F431AD" w:rsidRDefault="00F431AD" w:rsidP="00F431AD">
      <w:pPr>
        <w:numPr>
          <w:ilvl w:val="0"/>
          <w:numId w:val="6"/>
        </w:numPr>
        <w:ind w:left="284" w:hanging="284"/>
        <w:jc w:val="both"/>
        <w:rPr>
          <w:rFonts w:ascii="Calibri Light" w:hAnsi="Calibri Light"/>
          <w:b/>
        </w:rPr>
      </w:pPr>
      <w:r w:rsidRPr="00F431AD">
        <w:rPr>
          <w:rFonts w:ascii="Calibri Light" w:hAnsi="Calibri Light"/>
          <w:b/>
        </w:rPr>
        <w:t>se eventuali interventi disostruzione tubazioni e/o svuotamento vasche con ausilio di mezzo spurgo siano da considerarsi a carico dell’Appaltatore, interventi di natura straordinaria ovvero eseguiti direttamente dalla Stazione Appaltante;</w:t>
      </w:r>
    </w:p>
    <w:p w:rsidR="00F431AD" w:rsidRPr="00F431AD" w:rsidRDefault="00F431AD" w:rsidP="00F431AD">
      <w:pPr>
        <w:ind w:left="284"/>
        <w:jc w:val="both"/>
        <w:rPr>
          <w:rFonts w:ascii="Calibri Light" w:hAnsi="Calibri Light"/>
          <w:i/>
        </w:rPr>
      </w:pPr>
      <w:bookmarkStart w:id="4" w:name="_Hlk496513222"/>
      <w:r w:rsidRPr="00F431AD">
        <w:rPr>
          <w:rFonts w:ascii="Calibri Light" w:hAnsi="Calibri Light"/>
          <w:i/>
        </w:rPr>
        <w:t xml:space="preserve">La ditta appaltatrice, se incaricata dalla Stazione appaltante nei limiti normativi imposti dal </w:t>
      </w:r>
      <w:proofErr w:type="spellStart"/>
      <w:proofErr w:type="gramStart"/>
      <w:r w:rsidRPr="00F431AD">
        <w:rPr>
          <w:rFonts w:ascii="Calibri Light" w:hAnsi="Calibri Light"/>
          <w:i/>
        </w:rPr>
        <w:t>D.Lgs</w:t>
      </w:r>
      <w:proofErr w:type="spellEnd"/>
      <w:proofErr w:type="gramEnd"/>
      <w:r w:rsidRPr="00F431AD">
        <w:rPr>
          <w:rFonts w:ascii="Calibri Light" w:hAnsi="Calibri Light"/>
          <w:i/>
        </w:rPr>
        <w:t xml:space="preserve"> 50/2016, è obbligata all’esecuzione degli interventi di manutenzione straordinaria non programmata; i costi relativi agli interventi di manutenzione straordinaria non programmata, come i mezzo spurgo, sono a carico della Stazione Appaltante, mentre i costi relativi alle attività di supporto restano a carico dell’impresa aggiudicataria.</w:t>
      </w:r>
      <w:bookmarkEnd w:id="4"/>
    </w:p>
    <w:p w:rsidR="00F431AD" w:rsidRPr="00F431AD" w:rsidRDefault="00F431AD" w:rsidP="00F431AD">
      <w:pPr>
        <w:numPr>
          <w:ilvl w:val="0"/>
          <w:numId w:val="6"/>
        </w:numPr>
        <w:ind w:left="284" w:hanging="284"/>
        <w:jc w:val="both"/>
        <w:rPr>
          <w:rFonts w:ascii="Calibri Light" w:hAnsi="Calibri Light"/>
          <w:b/>
        </w:rPr>
      </w:pPr>
      <w:r w:rsidRPr="00F431AD">
        <w:rPr>
          <w:rFonts w:ascii="Calibri Light" w:hAnsi="Calibri Light"/>
          <w:b/>
        </w:rPr>
        <w:t>se gli oneri per lo smaltimento delle sabbie e degli oli, ivi compreso le relative caratterizzazioni, sono a carico della Stazione Appaltante.</w:t>
      </w:r>
    </w:p>
    <w:p w:rsidR="00F431AD" w:rsidRPr="00F431AD" w:rsidRDefault="00F431AD" w:rsidP="00F431AD">
      <w:pPr>
        <w:ind w:left="284"/>
        <w:jc w:val="both"/>
        <w:rPr>
          <w:rFonts w:ascii="Calibri Light" w:hAnsi="Calibri Light"/>
          <w:i/>
        </w:rPr>
      </w:pPr>
      <w:r w:rsidRPr="00F431AD">
        <w:rPr>
          <w:rFonts w:ascii="Calibri Light" w:hAnsi="Calibri Light"/>
          <w:i/>
        </w:rPr>
        <w:t xml:space="preserve">Gli oneri per lo smaltimento delle sabbie e degli oli, come per i fanghi ed il grigliato, restano a carico della Stazione appaltante. </w:t>
      </w:r>
    </w:p>
    <w:p w:rsidR="00F431AD" w:rsidRPr="00F431AD" w:rsidRDefault="00F431AD" w:rsidP="00F431AD">
      <w:pPr>
        <w:jc w:val="both"/>
        <w:rPr>
          <w:rFonts w:ascii="Calibri Light" w:hAnsi="Calibri Light"/>
          <w:i/>
        </w:rPr>
      </w:pPr>
      <w:r w:rsidRPr="00F431AD">
        <w:rPr>
          <w:rFonts w:ascii="Calibri Light" w:hAnsi="Calibri Light"/>
          <w:i/>
        </w:rPr>
        <w:t xml:space="preserve"> </w:t>
      </w:r>
    </w:p>
    <w:p w:rsidR="00F431AD" w:rsidRPr="00F431AD" w:rsidRDefault="00F431AD" w:rsidP="00F431AD">
      <w:pPr>
        <w:pStyle w:val="Paragrafoelenco"/>
        <w:numPr>
          <w:ilvl w:val="0"/>
          <w:numId w:val="5"/>
        </w:numPr>
        <w:jc w:val="both"/>
        <w:rPr>
          <w:rFonts w:ascii="Calibri Light" w:hAnsi="Calibri Light"/>
          <w:b/>
        </w:rPr>
      </w:pPr>
      <w:r w:rsidRPr="00F431AD">
        <w:rPr>
          <w:rFonts w:ascii="Calibri Light" w:hAnsi="Calibri Light"/>
          <w:b/>
        </w:rPr>
        <w:lastRenderedPageBreak/>
        <w:t>La Scrivente Società si occupa principalmente della gestione e manutenzione di impianti di trattamento dei reflui industriali.</w:t>
      </w:r>
      <w:r w:rsidRPr="00F431AD">
        <w:rPr>
          <w:rFonts w:ascii="Calibri Light" w:hAnsi="Calibri Light"/>
          <w:b/>
        </w:rPr>
        <w:t xml:space="preserve"> </w:t>
      </w:r>
      <w:r w:rsidRPr="00F431AD">
        <w:rPr>
          <w:rFonts w:ascii="Calibri Light" w:hAnsi="Calibri Light"/>
          <w:b/>
        </w:rPr>
        <w:t>Gli impianti hanno diverse potenzialità di progetto che vanno da pochi mc/h sino ad oltre 200 mc/h.</w:t>
      </w:r>
      <w:r w:rsidRPr="00F431AD">
        <w:rPr>
          <w:rFonts w:ascii="Calibri Light" w:hAnsi="Calibri Light"/>
          <w:b/>
        </w:rPr>
        <w:t xml:space="preserve"> </w:t>
      </w:r>
      <w:r w:rsidRPr="00F431AD">
        <w:rPr>
          <w:rFonts w:ascii="Calibri Light" w:hAnsi="Calibri Light"/>
          <w:b/>
        </w:rPr>
        <w:t>L'Abitante Equivalente viene definito dal codice dell'ambiente (</w:t>
      </w:r>
      <w:proofErr w:type="spellStart"/>
      <w:proofErr w:type="gramStart"/>
      <w:r w:rsidRPr="00F431AD">
        <w:rPr>
          <w:rFonts w:ascii="Calibri Light" w:hAnsi="Calibri Light"/>
          <w:b/>
        </w:rPr>
        <w:t>D.Lgs</w:t>
      </w:r>
      <w:proofErr w:type="gramEnd"/>
      <w:r w:rsidRPr="00F431AD">
        <w:rPr>
          <w:rFonts w:ascii="Calibri Light" w:hAnsi="Calibri Light"/>
          <w:b/>
        </w:rPr>
        <w:t>.</w:t>
      </w:r>
      <w:proofErr w:type="spellEnd"/>
      <w:r w:rsidRPr="00F431AD">
        <w:rPr>
          <w:rFonts w:ascii="Calibri Light" w:hAnsi="Calibri Light"/>
          <w:b/>
        </w:rPr>
        <w:t xml:space="preserve"> 152/06 art.74) il carico biodegradabile avente una richiesta biochimica di ossigeno a 5 giorni (BOD5) pari a 60 gr di ossigeno al giorno.</w:t>
      </w:r>
      <w:r w:rsidRPr="00F431AD">
        <w:rPr>
          <w:rFonts w:ascii="Calibri Light" w:hAnsi="Calibri Light"/>
          <w:b/>
        </w:rPr>
        <w:t xml:space="preserve"> </w:t>
      </w:r>
      <w:r w:rsidRPr="00F431AD">
        <w:rPr>
          <w:rFonts w:ascii="Calibri Light" w:hAnsi="Calibri Light"/>
          <w:b/>
        </w:rPr>
        <w:t xml:space="preserve">Come si può rilevare dalla letteratura specialistica di settore, l'Abitante Equivalente può essere riferito anche a parametri diversi dal carico biodegradabile ed in particolare al carico idraulico (200 l/AE d), al carico di solidi sospesi (60 g SS/AE d), al carico di COD (130 g COD/AE d), al carico di azoto (10 g N/AE d) e al carico di fosforo (1 g P/AE d). </w:t>
      </w:r>
      <w:r w:rsidRPr="00F431AD">
        <w:rPr>
          <w:rFonts w:ascii="Calibri Light" w:hAnsi="Calibri Light"/>
          <w:b/>
        </w:rPr>
        <w:t xml:space="preserve"> </w:t>
      </w:r>
      <w:r w:rsidRPr="00F431AD">
        <w:rPr>
          <w:rFonts w:ascii="Calibri Light" w:hAnsi="Calibri Light"/>
          <w:b/>
        </w:rPr>
        <w:t>Posto quanto sopra di seguito riportiamo la conversione della potenzialità degli impianti in Abitanti Equivalenti, in funzione della capacità idraulica di trattamento</w:t>
      </w:r>
    </w:p>
    <w:p w:rsidR="00F431AD" w:rsidRPr="00F431AD" w:rsidRDefault="00F431AD" w:rsidP="00F431AD">
      <w:pPr>
        <w:jc w:val="both"/>
        <w:rPr>
          <w:rFonts w:ascii="Calibri Light" w:hAnsi="Calibri Ligh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2572"/>
      </w:tblGrid>
      <w:tr w:rsidR="00F431AD" w:rsidRPr="00F431AD" w:rsidTr="00F431AD">
        <w:trPr>
          <w:jc w:val="center"/>
        </w:trPr>
        <w:tc>
          <w:tcPr>
            <w:tcW w:w="0" w:type="auto"/>
            <w:tcBorders>
              <w:top w:val="single" w:sz="4" w:space="0" w:color="auto"/>
              <w:left w:val="single" w:sz="4" w:space="0" w:color="auto"/>
              <w:bottom w:val="single" w:sz="4" w:space="0" w:color="auto"/>
              <w:right w:val="single" w:sz="4" w:space="0" w:color="auto"/>
            </w:tcBorders>
            <w:hideMark/>
          </w:tcPr>
          <w:p w:rsidR="00F431AD" w:rsidRPr="00F431AD" w:rsidRDefault="00F431AD">
            <w:pPr>
              <w:ind w:left="284"/>
              <w:jc w:val="center"/>
              <w:rPr>
                <w:rFonts w:ascii="Calibri Light" w:hAnsi="Calibri Light"/>
                <w:b/>
              </w:rPr>
            </w:pPr>
            <w:r w:rsidRPr="00F431AD">
              <w:rPr>
                <w:rFonts w:ascii="Calibri Light" w:hAnsi="Calibri Light"/>
                <w:b/>
              </w:rPr>
              <w:t>POTENZIALITA’</w:t>
            </w:r>
          </w:p>
          <w:p w:rsidR="00F431AD" w:rsidRPr="00F431AD" w:rsidRDefault="00F431AD">
            <w:pPr>
              <w:ind w:left="284"/>
              <w:jc w:val="center"/>
              <w:rPr>
                <w:rFonts w:ascii="Calibri Light" w:hAnsi="Calibri Light"/>
                <w:b/>
              </w:rPr>
            </w:pPr>
            <w:r w:rsidRPr="00F431AD">
              <w:rPr>
                <w:rFonts w:ascii="Calibri Light" w:hAnsi="Calibri Light"/>
                <w:b/>
              </w:rPr>
              <w:t>PROGETTO</w:t>
            </w:r>
          </w:p>
          <w:p w:rsidR="00F431AD" w:rsidRPr="00F431AD" w:rsidRDefault="00F431AD">
            <w:pPr>
              <w:ind w:left="284"/>
              <w:jc w:val="center"/>
              <w:rPr>
                <w:rFonts w:ascii="Calibri Light" w:hAnsi="Calibri Light"/>
                <w:b/>
              </w:rPr>
            </w:pPr>
            <w:r w:rsidRPr="00F431AD">
              <w:rPr>
                <w:rFonts w:ascii="Calibri Light" w:hAnsi="Calibri Light"/>
                <w:b/>
              </w:rPr>
              <w:t>mc/h</w:t>
            </w:r>
          </w:p>
        </w:tc>
        <w:tc>
          <w:tcPr>
            <w:tcW w:w="0" w:type="auto"/>
            <w:tcBorders>
              <w:top w:val="single" w:sz="4" w:space="0" w:color="auto"/>
              <w:left w:val="single" w:sz="4" w:space="0" w:color="auto"/>
              <w:bottom w:val="single" w:sz="4" w:space="0" w:color="auto"/>
              <w:right w:val="single" w:sz="4" w:space="0" w:color="auto"/>
            </w:tcBorders>
            <w:hideMark/>
          </w:tcPr>
          <w:p w:rsidR="00F431AD" w:rsidRPr="00F431AD" w:rsidRDefault="00F431AD">
            <w:pPr>
              <w:ind w:left="284"/>
              <w:jc w:val="center"/>
              <w:rPr>
                <w:rFonts w:ascii="Calibri Light" w:hAnsi="Calibri Light"/>
                <w:b/>
              </w:rPr>
            </w:pPr>
            <w:r w:rsidRPr="00F431AD">
              <w:rPr>
                <w:rFonts w:ascii="Calibri Light" w:hAnsi="Calibri Light"/>
                <w:b/>
              </w:rPr>
              <w:t>POTENZIALITA’</w:t>
            </w:r>
          </w:p>
          <w:p w:rsidR="00F431AD" w:rsidRPr="00F431AD" w:rsidRDefault="00F431AD">
            <w:pPr>
              <w:ind w:left="284"/>
              <w:jc w:val="center"/>
              <w:rPr>
                <w:rFonts w:ascii="Calibri Light" w:hAnsi="Calibri Light"/>
                <w:b/>
              </w:rPr>
            </w:pPr>
            <w:r w:rsidRPr="00F431AD">
              <w:rPr>
                <w:rFonts w:ascii="Calibri Light" w:hAnsi="Calibri Light"/>
                <w:b/>
              </w:rPr>
              <w:t>ABITANTI EQUIVALENTI</w:t>
            </w:r>
          </w:p>
        </w:tc>
      </w:tr>
      <w:tr w:rsidR="00F431AD" w:rsidRPr="00F431AD" w:rsidTr="00F431AD">
        <w:trPr>
          <w:jc w:val="center"/>
        </w:trPr>
        <w:tc>
          <w:tcPr>
            <w:tcW w:w="0" w:type="auto"/>
            <w:tcBorders>
              <w:top w:val="single" w:sz="4" w:space="0" w:color="auto"/>
              <w:left w:val="single" w:sz="4" w:space="0" w:color="auto"/>
              <w:bottom w:val="single" w:sz="4" w:space="0" w:color="auto"/>
              <w:right w:val="single" w:sz="4" w:space="0" w:color="auto"/>
            </w:tcBorders>
            <w:hideMark/>
          </w:tcPr>
          <w:p w:rsidR="00F431AD" w:rsidRPr="00F431AD" w:rsidRDefault="00F431AD">
            <w:pPr>
              <w:ind w:left="284"/>
              <w:jc w:val="center"/>
              <w:rPr>
                <w:rFonts w:ascii="Calibri Light" w:hAnsi="Calibri Light"/>
                <w:b/>
              </w:rPr>
            </w:pPr>
            <w:r w:rsidRPr="00F431AD">
              <w:rPr>
                <w:rFonts w:ascii="Calibri Light" w:hAnsi="Calibri Light"/>
                <w:b/>
              </w:rPr>
              <w:t>120</w:t>
            </w:r>
          </w:p>
        </w:tc>
        <w:tc>
          <w:tcPr>
            <w:tcW w:w="0" w:type="auto"/>
            <w:tcBorders>
              <w:top w:val="single" w:sz="4" w:space="0" w:color="auto"/>
              <w:left w:val="single" w:sz="4" w:space="0" w:color="auto"/>
              <w:bottom w:val="single" w:sz="4" w:space="0" w:color="auto"/>
              <w:right w:val="single" w:sz="4" w:space="0" w:color="auto"/>
            </w:tcBorders>
            <w:hideMark/>
          </w:tcPr>
          <w:p w:rsidR="00F431AD" w:rsidRPr="00F431AD" w:rsidRDefault="00F431AD">
            <w:pPr>
              <w:ind w:left="284"/>
              <w:jc w:val="center"/>
              <w:rPr>
                <w:rFonts w:ascii="Calibri Light" w:hAnsi="Calibri Light"/>
                <w:b/>
              </w:rPr>
            </w:pPr>
            <w:r w:rsidRPr="00F431AD">
              <w:rPr>
                <w:rFonts w:ascii="Calibri Light" w:hAnsi="Calibri Light"/>
                <w:b/>
              </w:rPr>
              <w:t>14400</w:t>
            </w:r>
          </w:p>
        </w:tc>
      </w:tr>
    </w:tbl>
    <w:p w:rsidR="00F431AD" w:rsidRPr="00F431AD" w:rsidRDefault="00F431AD" w:rsidP="00F431AD">
      <w:pPr>
        <w:jc w:val="both"/>
        <w:rPr>
          <w:rFonts w:ascii="Calibri Light" w:hAnsi="Calibri Light"/>
          <w:b/>
        </w:rPr>
      </w:pPr>
    </w:p>
    <w:p w:rsidR="00F431AD" w:rsidRPr="00F431AD" w:rsidRDefault="00F431AD" w:rsidP="00F431AD">
      <w:pPr>
        <w:ind w:left="851"/>
        <w:jc w:val="both"/>
        <w:rPr>
          <w:rFonts w:ascii="Calibri Light" w:hAnsi="Calibri Light"/>
          <w:b/>
        </w:rPr>
      </w:pPr>
      <w:r w:rsidRPr="00F431AD">
        <w:rPr>
          <w:rFonts w:ascii="Calibri Light" w:hAnsi="Calibri Light"/>
          <w:b/>
        </w:rPr>
        <w:t xml:space="preserve">Sulla base di quanto esposto, siamo a </w:t>
      </w:r>
      <w:bookmarkStart w:id="5" w:name="_Hlk496520362"/>
      <w:r w:rsidRPr="00F431AD">
        <w:rPr>
          <w:rFonts w:ascii="Calibri Light" w:hAnsi="Calibri Light"/>
          <w:b/>
        </w:rPr>
        <w:t>chiedere conferma di poter ottemperare al requisito sulla “gestione di impianti di depurazione di capacità superiore alla minima richiesta (2.000 abitanti equivalenti)”</w:t>
      </w:r>
      <w:bookmarkEnd w:id="5"/>
      <w:r w:rsidRPr="00F431AD">
        <w:rPr>
          <w:rFonts w:ascii="Calibri Light" w:hAnsi="Calibri Light"/>
          <w:b/>
        </w:rPr>
        <w:t>.</w:t>
      </w:r>
    </w:p>
    <w:p w:rsidR="00F431AD" w:rsidRPr="00F431AD" w:rsidRDefault="00F431AD" w:rsidP="00F431AD">
      <w:pPr>
        <w:ind w:left="851"/>
        <w:jc w:val="both"/>
        <w:rPr>
          <w:rFonts w:ascii="Calibri Light" w:hAnsi="Calibri Light"/>
          <w:i/>
        </w:rPr>
      </w:pPr>
      <w:r w:rsidRPr="00F431AD">
        <w:rPr>
          <w:rFonts w:ascii="Calibri Light" w:hAnsi="Calibri Light"/>
          <w:i/>
        </w:rPr>
        <w:t xml:space="preserve">Gli abitanti equivalenti possono essere riferiti a parametri diversi dal carico biodegradabile, come ad esempio al carico idraulico. </w:t>
      </w:r>
    </w:p>
    <w:p w:rsidR="00F431AD" w:rsidRPr="00F431AD" w:rsidRDefault="00F431AD" w:rsidP="00F431AD">
      <w:pPr>
        <w:ind w:left="851"/>
        <w:jc w:val="both"/>
        <w:rPr>
          <w:rFonts w:ascii="Calibri Light" w:hAnsi="Calibri Light"/>
          <w:i/>
        </w:rPr>
      </w:pPr>
      <w:r w:rsidRPr="00F431AD">
        <w:rPr>
          <w:rFonts w:ascii="Calibri Light" w:hAnsi="Calibri Light"/>
          <w:i/>
        </w:rPr>
        <w:t xml:space="preserve">Nel caso specifico, si conferma la conversione della potenzialità degli impianti da voi gestiti espressa in mc/h. </w:t>
      </w:r>
    </w:p>
    <w:p w:rsidR="00F431AD" w:rsidRPr="00F431AD" w:rsidRDefault="00F431AD" w:rsidP="00F431AD">
      <w:pPr>
        <w:jc w:val="both"/>
        <w:rPr>
          <w:rFonts w:ascii="Calibri Light" w:hAnsi="Calibri Light"/>
          <w:i/>
          <w:highlight w:val="yellow"/>
        </w:rPr>
      </w:pPr>
    </w:p>
    <w:p w:rsidR="00F431AD" w:rsidRDefault="00F431AD" w:rsidP="00F431AD">
      <w:pPr>
        <w:jc w:val="both"/>
        <w:rPr>
          <w:rFonts w:ascii="Calibri Light" w:hAnsi="Calibri Light"/>
        </w:rPr>
      </w:pPr>
    </w:p>
    <w:p w:rsidR="00F431AD" w:rsidRPr="00F431AD" w:rsidRDefault="00F431AD" w:rsidP="00F431AD">
      <w:pPr>
        <w:pStyle w:val="Paragrafoelenco"/>
        <w:numPr>
          <w:ilvl w:val="0"/>
          <w:numId w:val="5"/>
        </w:numPr>
        <w:jc w:val="both"/>
        <w:rPr>
          <w:rFonts w:ascii="Calibri Light" w:hAnsi="Calibri Light"/>
          <w:b/>
        </w:rPr>
      </w:pPr>
      <w:r w:rsidRPr="00F431AD">
        <w:rPr>
          <w:rFonts w:ascii="Calibri Light" w:hAnsi="Calibri Light"/>
          <w:i/>
        </w:rPr>
        <w:t xml:space="preserve"> </w:t>
      </w:r>
      <w:r w:rsidRPr="00F431AD">
        <w:rPr>
          <w:rFonts w:ascii="Calibri Light" w:hAnsi="Calibri Light"/>
          <w:b/>
        </w:rPr>
        <w:t xml:space="preserve">In riferimento all’oggetto si richiede se i quadri di raffronto delle due relazioni dei Criteri B1 e B2 possono essere strutturati come allegati alle stesse e non riportati nelle stesse relazioni. </w:t>
      </w:r>
    </w:p>
    <w:p w:rsidR="00F431AD" w:rsidRPr="00F431AD" w:rsidRDefault="00F431AD" w:rsidP="00F431AD">
      <w:pPr>
        <w:ind w:left="709"/>
        <w:jc w:val="both"/>
        <w:rPr>
          <w:rFonts w:ascii="Calibri Light" w:hAnsi="Calibri Light"/>
          <w:bCs/>
          <w:i/>
        </w:rPr>
      </w:pPr>
      <w:r w:rsidRPr="00F431AD">
        <w:rPr>
          <w:rFonts w:ascii="Calibri Light" w:hAnsi="Calibri Light"/>
          <w:i/>
        </w:rPr>
        <w:t>No, il quadro di raffronto richiesto specificamente per il “</w:t>
      </w:r>
      <w:r w:rsidRPr="00F431AD">
        <w:rPr>
          <w:rFonts w:ascii="Calibri Light" w:hAnsi="Calibri Light"/>
          <w:bCs/>
          <w:i/>
        </w:rPr>
        <w:t xml:space="preserve">Criterio di valutazione B2” dovrà essere contenuto all’interno della rispettiva relazione tecnica. </w:t>
      </w:r>
    </w:p>
    <w:p w:rsidR="00F431AD" w:rsidRDefault="00F431AD" w:rsidP="00F431AD">
      <w:pPr>
        <w:jc w:val="both"/>
        <w:rPr>
          <w:rFonts w:ascii="Calibri Light" w:hAnsi="Calibri Light"/>
          <w:b/>
          <w:bCs/>
        </w:rPr>
      </w:pPr>
    </w:p>
    <w:p w:rsidR="00F431AD" w:rsidRDefault="00F431AD" w:rsidP="00F431AD">
      <w:pPr>
        <w:jc w:val="both"/>
        <w:rPr>
          <w:rFonts w:ascii="Calibri Light" w:hAnsi="Calibri Light"/>
          <w:b/>
          <w:bCs/>
        </w:rPr>
      </w:pPr>
    </w:p>
    <w:p w:rsidR="00F431AD" w:rsidRDefault="00F431AD" w:rsidP="00F431AD">
      <w:pPr>
        <w:jc w:val="both"/>
        <w:rPr>
          <w:rFonts w:ascii="Calibri Light" w:hAnsi="Calibri Light"/>
          <w:b/>
          <w:bCs/>
        </w:rPr>
      </w:pPr>
    </w:p>
    <w:p w:rsidR="00F431AD" w:rsidRDefault="00F431AD" w:rsidP="00F431AD">
      <w:pPr>
        <w:jc w:val="both"/>
        <w:rPr>
          <w:rFonts w:ascii="Calibri Light" w:hAnsi="Calibri Light"/>
          <w:b/>
        </w:rPr>
      </w:pPr>
      <w:bookmarkStart w:id="6" w:name="_GoBack"/>
      <w:bookmarkEnd w:id="6"/>
    </w:p>
    <w:p w:rsidR="00F431AD" w:rsidRPr="00F81E8D" w:rsidRDefault="00F431AD" w:rsidP="00F81E8D">
      <w:pPr>
        <w:ind w:left="709"/>
        <w:rPr>
          <w:i/>
        </w:rPr>
      </w:pPr>
    </w:p>
    <w:p w:rsidR="00F81E8D" w:rsidRPr="00F81E8D" w:rsidRDefault="00F81E8D" w:rsidP="00F81E8D">
      <w:pPr>
        <w:pStyle w:val="Paragrafoelenco"/>
        <w:ind w:left="709"/>
        <w:jc w:val="both"/>
        <w:rPr>
          <w:bCs/>
          <w:i/>
        </w:rPr>
      </w:pPr>
    </w:p>
    <w:p w:rsidR="00135620" w:rsidRDefault="00135620" w:rsidP="00D666D1">
      <w:pPr>
        <w:jc w:val="both"/>
      </w:pPr>
    </w:p>
    <w:sectPr w:rsidR="001356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6AA"/>
    <w:multiLevelType w:val="hybridMultilevel"/>
    <w:tmpl w:val="7FBA6F7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5493D"/>
    <w:multiLevelType w:val="hybridMultilevel"/>
    <w:tmpl w:val="4DC03786"/>
    <w:lvl w:ilvl="0" w:tplc="C64A80CA">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9A6F2A"/>
    <w:multiLevelType w:val="hybridMultilevel"/>
    <w:tmpl w:val="6BE842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2259C8"/>
    <w:multiLevelType w:val="hybridMultilevel"/>
    <w:tmpl w:val="10AE4D40"/>
    <w:lvl w:ilvl="0" w:tplc="050267D0">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7387FCB"/>
    <w:multiLevelType w:val="hybridMultilevel"/>
    <w:tmpl w:val="E80A5342"/>
    <w:lvl w:ilvl="0" w:tplc="67BC124C">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4A3083"/>
    <w:multiLevelType w:val="hybridMultilevel"/>
    <w:tmpl w:val="E49026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DB"/>
    <w:rsid w:val="00116C77"/>
    <w:rsid w:val="00135620"/>
    <w:rsid w:val="001405E8"/>
    <w:rsid w:val="00142645"/>
    <w:rsid w:val="00266BFF"/>
    <w:rsid w:val="002E6F9A"/>
    <w:rsid w:val="002F3C2D"/>
    <w:rsid w:val="003A0976"/>
    <w:rsid w:val="00501C6B"/>
    <w:rsid w:val="00601179"/>
    <w:rsid w:val="007070F5"/>
    <w:rsid w:val="008A30DB"/>
    <w:rsid w:val="00922A27"/>
    <w:rsid w:val="009A22B6"/>
    <w:rsid w:val="009E0B10"/>
    <w:rsid w:val="00A44036"/>
    <w:rsid w:val="00A478B6"/>
    <w:rsid w:val="00A768CE"/>
    <w:rsid w:val="00A972EE"/>
    <w:rsid w:val="00B3298F"/>
    <w:rsid w:val="00C139F6"/>
    <w:rsid w:val="00D336C8"/>
    <w:rsid w:val="00D666D1"/>
    <w:rsid w:val="00DD1741"/>
    <w:rsid w:val="00E23EE9"/>
    <w:rsid w:val="00F431AD"/>
    <w:rsid w:val="00F4642B"/>
    <w:rsid w:val="00F81E8D"/>
    <w:rsid w:val="00FC1C53"/>
    <w:rsid w:val="00FC5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0437"/>
  <w15:chartTrackingRefBased/>
  <w15:docId w15:val="{6B1DD3B8-D951-4052-9B25-22E0A147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30DB"/>
    <w:pPr>
      <w:spacing w:after="0" w:line="240" w:lineRule="auto"/>
    </w:pPr>
    <w:rPr>
      <w:rFonts w:ascii="Calibri" w:hAnsi="Calibri" w:cs="Times New Roman"/>
    </w:rPr>
  </w:style>
  <w:style w:type="paragraph" w:styleId="Titolo1">
    <w:name w:val="heading 1"/>
    <w:basedOn w:val="Normale"/>
    <w:next w:val="Normale"/>
    <w:link w:val="Titolo1Carattere"/>
    <w:uiPriority w:val="9"/>
    <w:qFormat/>
    <w:rsid w:val="002E6F9A"/>
    <w:pPr>
      <w:keepNext/>
      <w:keepLines/>
      <w:jc w:val="center"/>
      <w:outlineLvl w:val="0"/>
    </w:pPr>
    <w:rPr>
      <w:rFonts w:ascii="Garamond" w:eastAsiaTheme="majorEastAsia" w:hAnsi="Garamond" w:cstheme="maj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A22B6"/>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E23EE9"/>
    <w:pPr>
      <w:ind w:left="720"/>
      <w:contextualSpacing/>
    </w:pPr>
  </w:style>
  <w:style w:type="paragraph" w:styleId="Testofumetto">
    <w:name w:val="Balloon Text"/>
    <w:basedOn w:val="Normale"/>
    <w:link w:val="TestofumettoCarattere"/>
    <w:uiPriority w:val="99"/>
    <w:semiHidden/>
    <w:unhideWhenUsed/>
    <w:rsid w:val="001426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2645"/>
    <w:rPr>
      <w:rFonts w:ascii="Segoe UI" w:hAnsi="Segoe UI" w:cs="Segoe UI"/>
      <w:sz w:val="18"/>
      <w:szCs w:val="18"/>
    </w:rPr>
  </w:style>
  <w:style w:type="character" w:customStyle="1" w:styleId="Titolo1Carattere">
    <w:name w:val="Titolo 1 Carattere"/>
    <w:basedOn w:val="Carpredefinitoparagrafo"/>
    <w:link w:val="Titolo1"/>
    <w:uiPriority w:val="9"/>
    <w:rsid w:val="002E6F9A"/>
    <w:rPr>
      <w:rFonts w:ascii="Garamond" w:eastAsiaTheme="majorEastAsia" w:hAnsi="Garamond" w:cstheme="majorBidi"/>
      <w:b/>
      <w:bCs/>
      <w:sz w:val="28"/>
      <w:szCs w:val="28"/>
    </w:rPr>
  </w:style>
  <w:style w:type="character" w:styleId="Collegamentoipertestuale">
    <w:name w:val="Hyperlink"/>
    <w:basedOn w:val="Carpredefinitoparagrafo"/>
    <w:uiPriority w:val="99"/>
    <w:unhideWhenUsed/>
    <w:rsid w:val="00A768CE"/>
    <w:rPr>
      <w:color w:val="0563C1" w:themeColor="hyperlink"/>
      <w:u w:val="single"/>
    </w:rPr>
  </w:style>
  <w:style w:type="character" w:styleId="Menzionenonrisolta">
    <w:name w:val="Unresolved Mention"/>
    <w:basedOn w:val="Carpredefinitoparagrafo"/>
    <w:uiPriority w:val="99"/>
    <w:semiHidden/>
    <w:unhideWhenUsed/>
    <w:rsid w:val="00A76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79214">
      <w:bodyDiv w:val="1"/>
      <w:marLeft w:val="0"/>
      <w:marRight w:val="0"/>
      <w:marTop w:val="0"/>
      <w:marBottom w:val="0"/>
      <w:divBdr>
        <w:top w:val="none" w:sz="0" w:space="0" w:color="auto"/>
        <w:left w:val="none" w:sz="0" w:space="0" w:color="auto"/>
        <w:bottom w:val="none" w:sz="0" w:space="0" w:color="auto"/>
        <w:right w:val="none" w:sz="0" w:space="0" w:color="auto"/>
      </w:divBdr>
    </w:div>
    <w:div w:id="714888840">
      <w:bodyDiv w:val="1"/>
      <w:marLeft w:val="0"/>
      <w:marRight w:val="0"/>
      <w:marTop w:val="0"/>
      <w:marBottom w:val="0"/>
      <w:divBdr>
        <w:top w:val="none" w:sz="0" w:space="0" w:color="auto"/>
        <w:left w:val="none" w:sz="0" w:space="0" w:color="auto"/>
        <w:bottom w:val="none" w:sz="0" w:space="0" w:color="auto"/>
        <w:right w:val="none" w:sz="0" w:space="0" w:color="auto"/>
      </w:divBdr>
    </w:div>
    <w:div w:id="962349022">
      <w:bodyDiv w:val="1"/>
      <w:marLeft w:val="0"/>
      <w:marRight w:val="0"/>
      <w:marTop w:val="0"/>
      <w:marBottom w:val="0"/>
      <w:divBdr>
        <w:top w:val="none" w:sz="0" w:space="0" w:color="auto"/>
        <w:left w:val="none" w:sz="0" w:space="0" w:color="auto"/>
        <w:bottom w:val="none" w:sz="0" w:space="0" w:color="auto"/>
        <w:right w:val="none" w:sz="0" w:space="0" w:color="auto"/>
      </w:divBdr>
    </w:div>
    <w:div w:id="12535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asisne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Fierro</dc:creator>
  <cp:keywords/>
  <dc:description/>
  <cp:lastModifiedBy>Antonella Minichino</cp:lastModifiedBy>
  <cp:revision>21</cp:revision>
  <cp:lastPrinted>2017-10-11T09:36:00Z</cp:lastPrinted>
  <dcterms:created xsi:type="dcterms:W3CDTF">2017-07-11T11:03:00Z</dcterms:created>
  <dcterms:modified xsi:type="dcterms:W3CDTF">2017-10-23T11:03:00Z</dcterms:modified>
</cp:coreProperties>
</file>